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llm-observability-and-cost-engineering"/>
    <w:p>
      <w:pPr>
        <w:pStyle w:val="Heading1"/>
      </w:pPr>
      <w:r>
        <w:t xml:space="preserve">LLM Observability and Cost Engineering</w:t>
      </w:r>
    </w:p>
    <w:bookmarkStart w:id="20" w:name="class-duration"/>
    <w:p>
      <w:pPr>
        <w:pStyle w:val="Heading2"/>
      </w:pPr>
      <w:r>
        <w:t xml:space="preserve">Class Duration</w:t>
      </w:r>
    </w:p>
    <w:p>
      <w:pPr>
        <w:pStyle w:val="FirstParagraph"/>
      </w:pPr>
      <w:r>
        <w:t xml:space="preserve">7 hours of live training delivered over 1-2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Professional software development experience</w:t>
      </w:r>
    </w:p>
    <w:p>
      <w:pPr>
        <w:numPr>
          <w:ilvl w:val="0"/>
          <w:numId w:val="1001"/>
        </w:numPr>
        <w:pStyle w:val="Compact"/>
      </w:pPr>
      <w:r>
        <w:t xml:space="preserve">Familiarity with LLM API usage and basic application monitoring concepts</w:t>
      </w:r>
    </w:p>
    <w:bookmarkEnd w:id="21"/>
    <w:bookmarkStart w:id="22" w:name="target-audience"/>
    <w:p>
      <w:pPr>
        <w:pStyle w:val="Heading2"/>
      </w:pPr>
      <w:r>
        <w:t xml:space="preserve">Target Audience</w:t>
      </w:r>
    </w:p>
    <w:p>
      <w:pPr>
        <w:pStyle w:val="FirstParagraph"/>
      </w:pPr>
      <w:r>
        <w:t xml:space="preserve">Software engineers, platform engineers, and MLOps practitioners responsible for running LLM-powered applications in production. Particularly relevant for teams whose LLM costs are growing unexpectedly, who have poor visibility into what their LLM application is actually doing, or who need to demonstrate cost control to leadership.</w:t>
      </w:r>
    </w:p>
    <w:bookmarkEnd w:id="22"/>
    <w:bookmarkStart w:id="23" w:name="description"/>
    <w:p>
      <w:pPr>
        <w:pStyle w:val="Heading2"/>
      </w:pPr>
      <w:r>
        <w:t xml:space="preserve">Description</w:t>
      </w:r>
    </w:p>
    <w:p>
      <w:pPr>
        <w:pStyle w:val="FirstParagraph"/>
      </w:pPr>
      <w:r>
        <w:t xml:space="preserve">LLM applications are opaque by default and expensive at scale. This course covers the techniques and tooling to make them observable and cost-controlled. We cover distributed tracing for LLM calls (LangSmith, Langfuse, Braintrust, and OpenTelemetry integration), token counting and budget enforcement, prompt and output caching strategies, prompt versioning and A/B testing, and cost attribution dashboards. Participants instrument a realistic LLM application end-to-end during the labs.</w:t>
      </w:r>
    </w:p>
    <w:bookmarkEnd w:id="23"/>
    <w:bookmarkStart w:id="24" w:name="learning-outcomes"/>
    <w:p>
      <w:pPr>
        <w:pStyle w:val="Heading2"/>
      </w:pPr>
      <w:r>
        <w:t xml:space="preserve">Learning Outcomes</w:t>
      </w:r>
    </w:p>
    <w:p>
      <w:pPr>
        <w:numPr>
          <w:ilvl w:val="0"/>
          <w:numId w:val="1002"/>
        </w:numPr>
        <w:pStyle w:val="Compact"/>
      </w:pPr>
      <w:r>
        <w:t xml:space="preserve">Instrument an LLM application with distributed tracing across all model calls.</w:t>
      </w:r>
    </w:p>
    <w:p>
      <w:pPr>
        <w:numPr>
          <w:ilvl w:val="0"/>
          <w:numId w:val="1002"/>
        </w:numPr>
        <w:pStyle w:val="Compact"/>
      </w:pPr>
      <w:r>
        <w:t xml:space="preserve">Calculate and track per-request and per-user token costs accurately.</w:t>
      </w:r>
    </w:p>
    <w:p>
      <w:pPr>
        <w:numPr>
          <w:ilvl w:val="0"/>
          <w:numId w:val="1002"/>
        </w:numPr>
        <w:pStyle w:val="Compact"/>
      </w:pPr>
      <w:r>
        <w:t xml:space="preserve">Implement prompt caching (exact and semantic) to reduce cost and latency.</w:t>
      </w:r>
    </w:p>
    <w:p>
      <w:pPr>
        <w:numPr>
          <w:ilvl w:val="0"/>
          <w:numId w:val="1002"/>
        </w:numPr>
        <w:pStyle w:val="Compact"/>
      </w:pPr>
      <w:r>
        <w:t xml:space="preserve">Version prompts and deploy changes with measurable impact tracking.</w:t>
      </w:r>
    </w:p>
    <w:p>
      <w:pPr>
        <w:numPr>
          <w:ilvl w:val="0"/>
          <w:numId w:val="1002"/>
        </w:numPr>
        <w:pStyle w:val="Compact"/>
      </w:pPr>
      <w:r>
        <w:t xml:space="preserve">Set token budget limits and cost alerts at the application level.</w:t>
      </w:r>
    </w:p>
    <w:p>
      <w:pPr>
        <w:numPr>
          <w:ilvl w:val="0"/>
          <w:numId w:val="1002"/>
        </w:numPr>
        <w:pStyle w:val="Compact"/>
      </w:pPr>
      <w:r>
        <w:t xml:space="preserve">Build a cost attribution dashboard segmented by feature, user cohort, and model.</w:t>
      </w:r>
    </w:p>
    <w:p>
      <w:pPr>
        <w:numPr>
          <w:ilvl w:val="0"/>
          <w:numId w:val="1002"/>
        </w:numPr>
        <w:pStyle w:val="Compact"/>
      </w:pPr>
      <w:r>
        <w:t xml:space="preserve">Diagnose performance and cost anomalies from trace data.</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Python 3.12+ or Node.js 20+, a Langfuse or LangSmith account (free tier), API keys for at least one frontier model, and Git.</w:t>
      </w:r>
    </w:p>
    <w:bookmarkEnd w:id="26"/>
    <w:bookmarkStart w:id="36" w:name="training-topics"/>
    <w:p>
      <w:pPr>
        <w:pStyle w:val="Heading2"/>
      </w:pPr>
      <w:r>
        <w:t xml:space="preserve">Training Topics</w:t>
      </w:r>
    </w:p>
    <w:bookmarkStart w:id="27" w:name="llm-observability-fundamentals"/>
    <w:p>
      <w:pPr>
        <w:pStyle w:val="Heading5"/>
      </w:pPr>
      <w:r>
        <w:t xml:space="preserve">LLM Observability Fundamentals</w:t>
      </w:r>
    </w:p>
    <w:p>
      <w:pPr>
        <w:numPr>
          <w:ilvl w:val="0"/>
          <w:numId w:val="1003"/>
        </w:numPr>
        <w:pStyle w:val="Compact"/>
      </w:pPr>
      <w:r>
        <w:t xml:space="preserve">Why standard APM tools fall short for LLM apps</w:t>
      </w:r>
    </w:p>
    <w:p>
      <w:pPr>
        <w:numPr>
          <w:ilvl w:val="0"/>
          <w:numId w:val="1003"/>
        </w:numPr>
        <w:pStyle w:val="Compact"/>
      </w:pPr>
      <w:r>
        <w:t xml:space="preserve">Key dimensions: latency, token usage, cost, quality scores</w:t>
      </w:r>
    </w:p>
    <w:p>
      <w:pPr>
        <w:numPr>
          <w:ilvl w:val="0"/>
          <w:numId w:val="1003"/>
        </w:numPr>
        <w:pStyle w:val="Compact"/>
      </w:pPr>
      <w:r>
        <w:t xml:space="preserve">Trace-first design for LLM applications</w:t>
      </w:r>
    </w:p>
    <w:bookmarkEnd w:id="27"/>
    <w:bookmarkStart w:id="28" w:name="distributed-tracing-for-llm-calls"/>
    <w:p>
      <w:pPr>
        <w:pStyle w:val="Heading5"/>
      </w:pPr>
      <w:r>
        <w:t xml:space="preserve">Distributed Tracing for LLM Calls</w:t>
      </w:r>
    </w:p>
    <w:p>
      <w:pPr>
        <w:numPr>
          <w:ilvl w:val="0"/>
          <w:numId w:val="1004"/>
        </w:numPr>
        <w:pStyle w:val="Compact"/>
      </w:pPr>
      <w:r>
        <w:t xml:space="preserve">Instrumenting model API calls with spans and attributes</w:t>
      </w:r>
    </w:p>
    <w:p>
      <w:pPr>
        <w:numPr>
          <w:ilvl w:val="0"/>
          <w:numId w:val="1004"/>
        </w:numPr>
        <w:pStyle w:val="Compact"/>
      </w:pPr>
      <w:r>
        <w:t xml:space="preserve">Tracing multi-step and agentic pipelines</w:t>
      </w:r>
    </w:p>
    <w:p>
      <w:pPr>
        <w:numPr>
          <w:ilvl w:val="0"/>
          <w:numId w:val="1004"/>
        </w:numPr>
        <w:pStyle w:val="Compact"/>
      </w:pPr>
      <w:r>
        <w:t xml:space="preserve">Langfuse, LangSmith, and Braintrust integration</w:t>
      </w:r>
    </w:p>
    <w:p>
      <w:pPr>
        <w:numPr>
          <w:ilvl w:val="0"/>
          <w:numId w:val="1004"/>
        </w:numPr>
        <w:pStyle w:val="Compact"/>
      </w:pPr>
      <w:r>
        <w:t xml:space="preserve">OpenTelemetry for LLM applications (semantic conventions)</w:t>
      </w:r>
    </w:p>
    <w:bookmarkEnd w:id="28"/>
    <w:bookmarkStart w:id="29" w:name="token-counting-and-budget-enforcement"/>
    <w:p>
      <w:pPr>
        <w:pStyle w:val="Heading5"/>
      </w:pPr>
      <w:r>
        <w:t xml:space="preserve">Token Counting and Budget Enforcement</w:t>
      </w:r>
    </w:p>
    <w:p>
      <w:pPr>
        <w:numPr>
          <w:ilvl w:val="0"/>
          <w:numId w:val="1005"/>
        </w:numPr>
        <w:pStyle w:val="Compact"/>
      </w:pPr>
      <w:r>
        <w:t xml:space="preserve">Counting tokens before and after requests</w:t>
      </w:r>
    </w:p>
    <w:p>
      <w:pPr>
        <w:numPr>
          <w:ilvl w:val="0"/>
          <w:numId w:val="1005"/>
        </w:numPr>
        <w:pStyle w:val="Compact"/>
      </w:pPr>
      <w:r>
        <w:t xml:space="preserve">Per-request, per-session, and per-user budget tracking</w:t>
      </w:r>
    </w:p>
    <w:p>
      <w:pPr>
        <w:numPr>
          <w:ilvl w:val="0"/>
          <w:numId w:val="1005"/>
        </w:numPr>
        <w:pStyle w:val="Compact"/>
      </w:pPr>
      <w:r>
        <w:t xml:space="preserve">Soft and hard budget limits with graceful degradation</w:t>
      </w:r>
    </w:p>
    <w:p>
      <w:pPr>
        <w:numPr>
          <w:ilvl w:val="0"/>
          <w:numId w:val="1005"/>
        </w:numPr>
        <w:pStyle w:val="Compact"/>
      </w:pPr>
      <w:r>
        <w:t xml:space="preserve">Token estimation for pre-request validation</w:t>
      </w:r>
    </w:p>
    <w:bookmarkEnd w:id="29"/>
    <w:bookmarkStart w:id="30" w:name="caching-strategies"/>
    <w:p>
      <w:pPr>
        <w:pStyle w:val="Heading5"/>
      </w:pPr>
      <w:r>
        <w:t xml:space="preserve">Caching Strategies</w:t>
      </w:r>
    </w:p>
    <w:p>
      <w:pPr>
        <w:numPr>
          <w:ilvl w:val="0"/>
          <w:numId w:val="1006"/>
        </w:numPr>
        <w:pStyle w:val="Compact"/>
      </w:pPr>
      <w:r>
        <w:t xml:space="preserve">Exact prompt caching (provider-native and custom)</w:t>
      </w:r>
    </w:p>
    <w:p>
      <w:pPr>
        <w:numPr>
          <w:ilvl w:val="0"/>
          <w:numId w:val="1006"/>
        </w:numPr>
        <w:pStyle w:val="Compact"/>
      </w:pPr>
      <w:r>
        <w:t xml:space="preserve">Semantic caching with embedding similarity</w:t>
      </w:r>
    </w:p>
    <w:p>
      <w:pPr>
        <w:numPr>
          <w:ilvl w:val="0"/>
          <w:numId w:val="1006"/>
        </w:numPr>
        <w:pStyle w:val="Compact"/>
      </w:pPr>
      <w:r>
        <w:t xml:space="preserve">Cache key design for parameterized prompts</w:t>
      </w:r>
    </w:p>
    <w:p>
      <w:pPr>
        <w:numPr>
          <w:ilvl w:val="0"/>
          <w:numId w:val="1006"/>
        </w:numPr>
        <w:pStyle w:val="Compact"/>
      </w:pPr>
      <w:r>
        <w:t xml:space="preserve">Cache invalidation on prompt version changes</w:t>
      </w:r>
    </w:p>
    <w:bookmarkEnd w:id="30"/>
    <w:bookmarkStart w:id="31" w:name="prompt-versioning"/>
    <w:p>
      <w:pPr>
        <w:pStyle w:val="Heading5"/>
      </w:pPr>
      <w:r>
        <w:t xml:space="preserve">Prompt Versioning</w:t>
      </w:r>
    </w:p>
    <w:p>
      <w:pPr>
        <w:numPr>
          <w:ilvl w:val="0"/>
          <w:numId w:val="1007"/>
        </w:numPr>
        <w:pStyle w:val="Compact"/>
      </w:pPr>
      <w:r>
        <w:t xml:space="preserve">Treating prompts as versioned artifacts</w:t>
      </w:r>
    </w:p>
    <w:p>
      <w:pPr>
        <w:numPr>
          <w:ilvl w:val="0"/>
          <w:numId w:val="1007"/>
        </w:numPr>
        <w:pStyle w:val="Compact"/>
      </w:pPr>
      <w:r>
        <w:t xml:space="preserve">Prompt registry: storage, retrieval, and rollback</w:t>
      </w:r>
    </w:p>
    <w:p>
      <w:pPr>
        <w:numPr>
          <w:ilvl w:val="0"/>
          <w:numId w:val="1007"/>
        </w:numPr>
        <w:pStyle w:val="Compact"/>
      </w:pPr>
      <w:r>
        <w:t xml:space="preserve">A/B testing prompt variants with statistical significance</w:t>
      </w:r>
    </w:p>
    <w:p>
      <w:pPr>
        <w:numPr>
          <w:ilvl w:val="0"/>
          <w:numId w:val="1007"/>
        </w:numPr>
        <w:pStyle w:val="Compact"/>
      </w:pPr>
      <w:r>
        <w:t xml:space="preserve">Shipping prompt changes safely in production</w:t>
      </w:r>
    </w:p>
    <w:bookmarkEnd w:id="31"/>
    <w:bookmarkStart w:id="32" w:name="cost-attribution"/>
    <w:p>
      <w:pPr>
        <w:pStyle w:val="Heading5"/>
      </w:pPr>
      <w:r>
        <w:t xml:space="preserve">Cost Attribution</w:t>
      </w:r>
    </w:p>
    <w:p>
      <w:pPr>
        <w:numPr>
          <w:ilvl w:val="0"/>
          <w:numId w:val="1008"/>
        </w:numPr>
        <w:pStyle w:val="Compact"/>
      </w:pPr>
      <w:r>
        <w:t xml:space="preserve">Mapping token costs to product features and user cohorts</w:t>
      </w:r>
    </w:p>
    <w:p>
      <w:pPr>
        <w:numPr>
          <w:ilvl w:val="0"/>
          <w:numId w:val="1008"/>
        </w:numPr>
        <w:pStyle w:val="Compact"/>
      </w:pPr>
      <w:r>
        <w:t xml:space="preserve">Cost allocation for shared infrastructure</w:t>
      </w:r>
    </w:p>
    <w:p>
      <w:pPr>
        <w:numPr>
          <w:ilvl w:val="0"/>
          <w:numId w:val="1008"/>
        </w:numPr>
        <w:pStyle w:val="Compact"/>
      </w:pPr>
      <w:r>
        <w:t xml:space="preserve">Building a cost attribution dashboard</w:t>
      </w:r>
    </w:p>
    <w:p>
      <w:pPr>
        <w:numPr>
          <w:ilvl w:val="0"/>
          <w:numId w:val="1008"/>
        </w:numPr>
        <w:pStyle w:val="Compact"/>
      </w:pPr>
      <w:r>
        <w:t xml:space="preserve">Forecasting LLM cost at scale</w:t>
      </w:r>
    </w:p>
    <w:bookmarkEnd w:id="32"/>
    <w:bookmarkStart w:id="33" w:name="anomaly-detection-and-alerting"/>
    <w:p>
      <w:pPr>
        <w:pStyle w:val="Heading5"/>
      </w:pPr>
      <w:r>
        <w:t xml:space="preserve">Anomaly Detection and Alerting</w:t>
      </w:r>
    </w:p>
    <w:p>
      <w:pPr>
        <w:numPr>
          <w:ilvl w:val="0"/>
          <w:numId w:val="1009"/>
        </w:numPr>
        <w:pStyle w:val="Compact"/>
      </w:pPr>
      <w:r>
        <w:t xml:space="preserve">Cost spike detection and alerting</w:t>
      </w:r>
    </w:p>
    <w:p>
      <w:pPr>
        <w:numPr>
          <w:ilvl w:val="0"/>
          <w:numId w:val="1009"/>
        </w:numPr>
        <w:pStyle w:val="Compact"/>
      </w:pPr>
      <w:r>
        <w:t xml:space="preserve">Latency regression alerting</w:t>
      </w:r>
    </w:p>
    <w:p>
      <w:pPr>
        <w:numPr>
          <w:ilvl w:val="0"/>
          <w:numId w:val="1009"/>
        </w:numPr>
        <w:pStyle w:val="Compact"/>
      </w:pPr>
      <w:r>
        <w:t xml:space="preserve">Quality score drift detection</w:t>
      </w:r>
    </w:p>
    <w:p>
      <w:pPr>
        <w:numPr>
          <w:ilvl w:val="0"/>
          <w:numId w:val="1009"/>
        </w:numPr>
        <w:pStyle w:val="Compact"/>
      </w:pPr>
      <w:r>
        <w:t xml:space="preserve">Incident response for LLM production issues</w:t>
      </w:r>
    </w:p>
    <w:bookmarkEnd w:id="33"/>
    <w:bookmarkStart w:id="34" w:name="performance-optimization"/>
    <w:p>
      <w:pPr>
        <w:pStyle w:val="Heading5"/>
      </w:pPr>
      <w:r>
        <w:t xml:space="preserve">Performance Optimization</w:t>
      </w:r>
    </w:p>
    <w:p>
      <w:pPr>
        <w:numPr>
          <w:ilvl w:val="0"/>
          <w:numId w:val="1010"/>
        </w:numPr>
        <w:pStyle w:val="Compact"/>
      </w:pPr>
      <w:r>
        <w:t xml:space="preserve">Model downtiering for cost-sensitive paths</w:t>
      </w:r>
    </w:p>
    <w:p>
      <w:pPr>
        <w:numPr>
          <w:ilvl w:val="0"/>
          <w:numId w:val="1010"/>
        </w:numPr>
        <w:pStyle w:val="Compact"/>
      </w:pPr>
      <w:r>
        <w:t xml:space="preserve">Prompt compression and context trimming</w:t>
      </w:r>
    </w:p>
    <w:p>
      <w:pPr>
        <w:numPr>
          <w:ilvl w:val="0"/>
          <w:numId w:val="1010"/>
        </w:numPr>
        <w:pStyle w:val="Compact"/>
      </w:pPr>
      <w:r>
        <w:t xml:space="preserve">Batching for throughput-sensitive workloads</w:t>
      </w:r>
    </w:p>
    <w:bookmarkEnd w:id="34"/>
    <w:bookmarkStart w:id="35" w:name="workshop"/>
    <w:p>
      <w:pPr>
        <w:pStyle w:val="Heading5"/>
      </w:pPr>
      <w:r>
        <w:t xml:space="preserve">Workshop</w:t>
      </w:r>
    </w:p>
    <w:p>
      <w:pPr>
        <w:numPr>
          <w:ilvl w:val="0"/>
          <w:numId w:val="1011"/>
        </w:numPr>
        <w:pStyle w:val="Compact"/>
      </w:pPr>
      <w:r>
        <w:t xml:space="preserve">Instrument a sample LLM application end-to-end</w:t>
      </w:r>
    </w:p>
    <w:p>
      <w:pPr>
        <w:numPr>
          <w:ilvl w:val="0"/>
          <w:numId w:val="1011"/>
        </w:numPr>
        <w:pStyle w:val="Compact"/>
      </w:pPr>
      <w:r>
        <w:t xml:space="preserve">Cost attribution dashboard exercise</w:t>
      </w:r>
    </w:p>
    <w:p>
      <w:pPr>
        <w:numPr>
          <w:ilvl w:val="0"/>
          <w:numId w:val="1011"/>
        </w:numPr>
        <w:pStyle w:val="Compact"/>
      </w:pPr>
      <w:r>
        <w:t xml:space="preserve">Q&amp;A session</w:t>
      </w:r>
    </w:p>
    <w:bookmarkEnd w:id="35"/>
    <w:bookmarkEnd w:id="36"/>
    <w:bookmarkEnd w:id="37"/>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LLM Observability and Cost Engineering</dc:title>
  <dc:creator>Cloud Contraptions LLC</dc:creator>
  <cp:keywords/>
  <dcterms:created xsi:type="dcterms:W3CDTF">2026-05-02T12:49:14Z</dcterms:created>
  <dcterms:modified xsi:type="dcterms:W3CDTF">2026-05-02T12:49:14Z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