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responsible-ai-for-engineering-leaders"/>
    <w:p>
      <w:pPr>
        <w:pStyle w:val="Heading1"/>
      </w:pPr>
      <w:r>
        <w:t xml:space="preserve">Responsible AI for Engineering Leaders</w:t>
      </w:r>
    </w:p>
    <w:bookmarkStart w:id="20" w:name="class-duration"/>
    <w:p>
      <w:pPr>
        <w:pStyle w:val="Heading2"/>
      </w:pPr>
      <w:r>
        <w:t xml:space="preserve">Class Duration</w:t>
      </w:r>
    </w:p>
    <w:p>
      <w:pPr>
        <w:pStyle w:val="FirstParagraph"/>
      </w:pPr>
      <w:r>
        <w:t xml:space="preserve">7 hours of live training delivered over 1-2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Engineering management or technical leadership experience</w:t>
      </w:r>
    </w:p>
    <w:p>
      <w:pPr>
        <w:numPr>
          <w:ilvl w:val="0"/>
          <w:numId w:val="1001"/>
        </w:numPr>
        <w:pStyle w:val="Compact"/>
      </w:pPr>
      <w:r>
        <w:t xml:space="preserve">No prior AI/ML background required</w:t>
      </w:r>
    </w:p>
    <w:bookmarkEnd w:id="21"/>
    <w:bookmarkStart w:id="22" w:name="target-audience"/>
    <w:p>
      <w:pPr>
        <w:pStyle w:val="Heading2"/>
      </w:pPr>
      <w:r>
        <w:t xml:space="preserve">Target Audience</w:t>
      </w:r>
    </w:p>
    <w:p>
      <w:pPr>
        <w:pStyle w:val="FirstParagraph"/>
      </w:pPr>
      <w:r>
        <w:t xml:space="preserve">Engineering managers, tech leads, architects, and VPs of Engineering responsible for setting AI tool policy for their teams. Equally relevant for legal and compliance stakeholders who need to understand the technical reality behind AI-generated code, and for learning and development leaders designing responsible AI upskilling programs.</w:t>
      </w:r>
    </w:p>
    <w:bookmarkEnd w:id="22"/>
    <w:bookmarkStart w:id="23" w:name="description"/>
    <w:p>
      <w:pPr>
        <w:pStyle w:val="Heading2"/>
      </w:pPr>
      <w:r>
        <w:t xml:space="preserve">Description</w:t>
      </w:r>
    </w:p>
    <w:p>
      <w:pPr>
        <w:pStyle w:val="FirstParagraph"/>
      </w:pPr>
      <w:r>
        <w:t xml:space="preserve">This course equips engineering leaders with the knowledge and frameworks to govern AI-assisted development responsibly. We cover the legal landscape for AI-generated code (copyright, IP ownership, and open-source license contamination), data privacy and confidentiality risks, procurement evaluation criteria, team policy design (acceptable use, review requirements, prompt libraries), honest productivity measurement, and organizational change management for AI tool rollouts. The course is heavier on policy templates and decision frameworks than on code labs.</w:t>
      </w:r>
    </w:p>
    <w:bookmarkEnd w:id="23"/>
    <w:bookmarkStart w:id="24" w:name="learning-outcomes"/>
    <w:p>
      <w:pPr>
        <w:pStyle w:val="Heading2"/>
      </w:pPr>
      <w:r>
        <w:t xml:space="preserve">Learning Outcomes</w:t>
      </w:r>
    </w:p>
    <w:p>
      <w:pPr>
        <w:numPr>
          <w:ilvl w:val="0"/>
          <w:numId w:val="1002"/>
        </w:numPr>
        <w:pStyle w:val="Compact"/>
      </w:pPr>
      <w:r>
        <w:t xml:space="preserve">Explain the current legal landscape for copyright and IP ownership of AI-generated code.</w:t>
      </w:r>
    </w:p>
    <w:p>
      <w:pPr>
        <w:numPr>
          <w:ilvl w:val="0"/>
          <w:numId w:val="1002"/>
        </w:numPr>
        <w:pStyle w:val="Compact"/>
      </w:pPr>
      <w:r>
        <w:t xml:space="preserve">Identify open-source license contamination risks and the tooling available to mitigate them.</w:t>
      </w:r>
    </w:p>
    <w:p>
      <w:pPr>
        <w:numPr>
          <w:ilvl w:val="0"/>
          <w:numId w:val="1002"/>
        </w:numPr>
        <w:pStyle w:val="Compact"/>
      </w:pPr>
      <w:r>
        <w:t xml:space="preserve">Evaluate AI tool vendor contracts for data retention, training use, and confidentiality provisions.</w:t>
      </w:r>
    </w:p>
    <w:p>
      <w:pPr>
        <w:numPr>
          <w:ilvl w:val="0"/>
          <w:numId w:val="1002"/>
        </w:numPr>
        <w:pStyle w:val="Compact"/>
      </w:pPr>
      <w:r>
        <w:t xml:space="preserve">Draft a team acceptable-use policy for AI coding assistants.</w:t>
      </w:r>
    </w:p>
    <w:p>
      <w:pPr>
        <w:numPr>
          <w:ilvl w:val="0"/>
          <w:numId w:val="1002"/>
        </w:numPr>
        <w:pStyle w:val="Compact"/>
      </w:pPr>
      <w:r>
        <w:t xml:space="preserve">Design a prompt library governance process for standardizing team AI usage.</w:t>
      </w:r>
    </w:p>
    <w:p>
      <w:pPr>
        <w:numPr>
          <w:ilvl w:val="0"/>
          <w:numId w:val="1002"/>
        </w:numPr>
        <w:pStyle w:val="Compact"/>
      </w:pPr>
      <w:r>
        <w:t xml:space="preserve">Define honest productivity metrics for AI-assisted development programs.</w:t>
      </w:r>
    </w:p>
    <w:p>
      <w:pPr>
        <w:numPr>
          <w:ilvl w:val="0"/>
          <w:numId w:val="1002"/>
        </w:numPr>
        <w:pStyle w:val="Compact"/>
      </w:pPr>
      <w:r>
        <w:t xml:space="preserve">Build a phased rollout plan for AI tool adoption with appropriate checkpoints.</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 Policy template library included.</w:t>
      </w:r>
    </w:p>
    <w:bookmarkEnd w:id="25"/>
    <w:bookmarkStart w:id="26" w:name="software-requirements"/>
    <w:p>
      <w:pPr>
        <w:pStyle w:val="Heading2"/>
      </w:pPr>
      <w:r>
        <w:t xml:space="preserve">Software Requirements</w:t>
      </w:r>
    </w:p>
    <w:p>
      <w:pPr>
        <w:pStyle w:val="FirstParagraph"/>
      </w:pPr>
      <w:r>
        <w:t xml:space="preserve">No special software required. Labs use policy templates and decision-framework worksheets.</w:t>
      </w:r>
    </w:p>
    <w:bookmarkEnd w:id="26"/>
    <w:bookmarkStart w:id="36" w:name="training-topics"/>
    <w:p>
      <w:pPr>
        <w:pStyle w:val="Heading2"/>
      </w:pPr>
      <w:r>
        <w:t xml:space="preserve">Training Topics</w:t>
      </w:r>
    </w:p>
    <w:bookmarkStart w:id="27" w:name="X301da9343654d9434ae8018e114721cf5c8e498"/>
    <w:p>
      <w:pPr>
        <w:pStyle w:val="Heading5"/>
      </w:pPr>
      <w:r>
        <w:t xml:space="preserve">The Current AI Tool Landscape for Leaders</w:t>
      </w:r>
    </w:p>
    <w:p>
      <w:pPr>
        <w:numPr>
          <w:ilvl w:val="0"/>
          <w:numId w:val="1003"/>
        </w:numPr>
        <w:pStyle w:val="Compact"/>
      </w:pPr>
      <w:r>
        <w:t xml:space="preserve">Which tools teams are using and why it matters for policy</w:t>
      </w:r>
    </w:p>
    <w:p>
      <w:pPr>
        <w:numPr>
          <w:ilvl w:val="0"/>
          <w:numId w:val="1003"/>
        </w:numPr>
        <w:pStyle w:val="Compact"/>
      </w:pPr>
      <w:r>
        <w:t xml:space="preserve">Autonomy spectrum: assistants to fully autonomous agents</w:t>
      </w:r>
    </w:p>
    <w:p>
      <w:pPr>
        <w:numPr>
          <w:ilvl w:val="0"/>
          <w:numId w:val="1003"/>
        </w:numPr>
        <w:pStyle w:val="Compact"/>
      </w:pPr>
      <w:r>
        <w:t xml:space="preserve">Risk profile changes by autonomy level</w:t>
      </w:r>
    </w:p>
    <w:bookmarkEnd w:id="27"/>
    <w:bookmarkStart w:id="28" w:name="ip-copyright-and-licensing"/>
    <w:p>
      <w:pPr>
        <w:pStyle w:val="Heading5"/>
      </w:pPr>
      <w:r>
        <w:t xml:space="preserve">IP, Copyright, and Licensing</w:t>
      </w:r>
    </w:p>
    <w:p>
      <w:pPr>
        <w:numPr>
          <w:ilvl w:val="0"/>
          <w:numId w:val="1004"/>
        </w:numPr>
        <w:pStyle w:val="Compact"/>
      </w:pPr>
      <w:r>
        <w:t xml:space="preserve">Copyright status of AI-generated code: current legal landscape</w:t>
      </w:r>
    </w:p>
    <w:p>
      <w:pPr>
        <w:numPr>
          <w:ilvl w:val="0"/>
          <w:numId w:val="1004"/>
        </w:numPr>
        <w:pStyle w:val="Compact"/>
      </w:pPr>
      <w:r>
        <w:t xml:space="preserve">Open-source license contamination risk (copyleft, permissive)</w:t>
      </w:r>
    </w:p>
    <w:p>
      <w:pPr>
        <w:numPr>
          <w:ilvl w:val="0"/>
          <w:numId w:val="1004"/>
        </w:numPr>
        <w:pStyle w:val="Compact"/>
      </w:pPr>
      <w:r>
        <w:t xml:space="preserve">Vendor policies: GitHub Copilot, Cursor, Anthropic, OpenAI</w:t>
      </w:r>
    </w:p>
    <w:p>
      <w:pPr>
        <w:numPr>
          <w:ilvl w:val="0"/>
          <w:numId w:val="1004"/>
        </w:numPr>
        <w:pStyle w:val="Compact"/>
      </w:pPr>
      <w:r>
        <w:t xml:space="preserve">Tooling for license scanning AI-generated output</w:t>
      </w:r>
    </w:p>
    <w:bookmarkEnd w:id="28"/>
    <w:bookmarkStart w:id="29" w:name="data-privacy-and-confidentiality"/>
    <w:p>
      <w:pPr>
        <w:pStyle w:val="Heading5"/>
      </w:pPr>
      <w:r>
        <w:t xml:space="preserve">Data Privacy and Confidentiality</w:t>
      </w:r>
    </w:p>
    <w:p>
      <w:pPr>
        <w:numPr>
          <w:ilvl w:val="0"/>
          <w:numId w:val="1005"/>
        </w:numPr>
        <w:pStyle w:val="Compact"/>
      </w:pPr>
      <w:r>
        <w:t xml:space="preserve">What data each tool transmits to vendor servers</w:t>
      </w:r>
    </w:p>
    <w:p>
      <w:pPr>
        <w:numPr>
          <w:ilvl w:val="0"/>
          <w:numId w:val="1005"/>
        </w:numPr>
        <w:pStyle w:val="Compact"/>
      </w:pPr>
      <w:r>
        <w:t xml:space="preserve">Training data use clauses in vendor agreements</w:t>
      </w:r>
    </w:p>
    <w:p>
      <w:pPr>
        <w:numPr>
          <w:ilvl w:val="0"/>
          <w:numId w:val="1005"/>
        </w:numPr>
        <w:pStyle w:val="Compact"/>
      </w:pPr>
      <w:r>
        <w:t xml:space="preserve">Enterprise and business tier data protections</w:t>
      </w:r>
    </w:p>
    <w:p>
      <w:pPr>
        <w:numPr>
          <w:ilvl w:val="0"/>
          <w:numId w:val="1005"/>
        </w:numPr>
        <w:pStyle w:val="Compact"/>
      </w:pPr>
      <w:r>
        <w:t xml:space="preserve">Handling regulated data (HIPAA, PCI, GDPR) with AI tools</w:t>
      </w:r>
    </w:p>
    <w:bookmarkEnd w:id="29"/>
    <w:bookmarkStart w:id="30" w:name="procurement-evaluation"/>
    <w:p>
      <w:pPr>
        <w:pStyle w:val="Heading5"/>
      </w:pPr>
      <w:r>
        <w:t xml:space="preserve">Procurement Evaluation</w:t>
      </w:r>
    </w:p>
    <w:p>
      <w:pPr>
        <w:numPr>
          <w:ilvl w:val="0"/>
          <w:numId w:val="1006"/>
        </w:numPr>
        <w:pStyle w:val="Compact"/>
      </w:pPr>
      <w:r>
        <w:t xml:space="preserve">Due diligence checklist for AI tool vendors</w:t>
      </w:r>
    </w:p>
    <w:p>
      <w:pPr>
        <w:numPr>
          <w:ilvl w:val="0"/>
          <w:numId w:val="1006"/>
        </w:numPr>
        <w:pStyle w:val="Compact"/>
      </w:pPr>
      <w:r>
        <w:t xml:space="preserve">Security review criteria: SOC 2, penetration test history</w:t>
      </w:r>
    </w:p>
    <w:p>
      <w:pPr>
        <w:numPr>
          <w:ilvl w:val="0"/>
          <w:numId w:val="1006"/>
        </w:numPr>
        <w:pStyle w:val="Compact"/>
      </w:pPr>
      <w:r>
        <w:t xml:space="preserve">Data processing agreements and DPA requirements</w:t>
      </w:r>
    </w:p>
    <w:p>
      <w:pPr>
        <w:numPr>
          <w:ilvl w:val="0"/>
          <w:numId w:val="1006"/>
        </w:numPr>
        <w:pStyle w:val="Compact"/>
      </w:pPr>
      <w:r>
        <w:t xml:space="preserve">Multi-tool vs. standardization strategy</w:t>
      </w:r>
    </w:p>
    <w:bookmarkEnd w:id="30"/>
    <w:bookmarkStart w:id="31" w:name="team-policy-design"/>
    <w:p>
      <w:pPr>
        <w:pStyle w:val="Heading5"/>
      </w:pPr>
      <w:r>
        <w:t xml:space="preserve">Team Policy Design</w:t>
      </w:r>
    </w:p>
    <w:p>
      <w:pPr>
        <w:numPr>
          <w:ilvl w:val="0"/>
          <w:numId w:val="1007"/>
        </w:numPr>
        <w:pStyle w:val="Compact"/>
      </w:pPr>
      <w:r>
        <w:t xml:space="preserve">Acceptable use policy framework and template</w:t>
      </w:r>
    </w:p>
    <w:p>
      <w:pPr>
        <w:numPr>
          <w:ilvl w:val="0"/>
          <w:numId w:val="1007"/>
        </w:numPr>
        <w:pStyle w:val="Compact"/>
      </w:pPr>
      <w:r>
        <w:t xml:space="preserve">Review requirements for AI-generated code</w:t>
      </w:r>
    </w:p>
    <w:p>
      <w:pPr>
        <w:numPr>
          <w:ilvl w:val="0"/>
          <w:numId w:val="1007"/>
        </w:numPr>
        <w:pStyle w:val="Compact"/>
      </w:pPr>
      <w:r>
        <w:t xml:space="preserve">Prompt library governance: creation, approval, versioning</w:t>
      </w:r>
    </w:p>
    <w:p>
      <w:pPr>
        <w:numPr>
          <w:ilvl w:val="0"/>
          <w:numId w:val="1007"/>
        </w:numPr>
        <w:pStyle w:val="Compact"/>
      </w:pPr>
      <w:r>
        <w:t xml:space="preserve">CLAUDE.md /</w:t>
      </w:r>
      <w:r>
        <w:t xml:space="preserve"> </w:t>
      </w:r>
      <w:r>
        <w:rPr>
          <w:rStyle w:val="VerbatimChar"/>
        </w:rPr>
        <w:t xml:space="preserve">.instructions.md</w:t>
      </w:r>
      <w:r>
        <w:t xml:space="preserve"> </w:t>
      </w:r>
      <w:r>
        <w:t xml:space="preserve">team standards</w:t>
      </w:r>
    </w:p>
    <w:p>
      <w:pPr>
        <w:numPr>
          <w:ilvl w:val="0"/>
          <w:numId w:val="1007"/>
        </w:numPr>
        <w:pStyle w:val="Compact"/>
      </w:pPr>
      <w:r>
        <w:t xml:space="preserve">Escalation path for policy edge cases</w:t>
      </w:r>
    </w:p>
    <w:bookmarkEnd w:id="31"/>
    <w:bookmarkStart w:id="32" w:name="productivity-measurement"/>
    <w:p>
      <w:pPr>
        <w:pStyle w:val="Heading5"/>
      </w:pPr>
      <w:r>
        <w:t xml:space="preserve">Productivity Measurement</w:t>
      </w:r>
    </w:p>
    <w:p>
      <w:pPr>
        <w:numPr>
          <w:ilvl w:val="0"/>
          <w:numId w:val="1008"/>
        </w:numPr>
        <w:pStyle w:val="Compact"/>
      </w:pPr>
      <w:r>
        <w:t xml:space="preserve">Why simple</w:t>
      </w:r>
      <w:r>
        <w:t xml:space="preserve"> </w:t>
      </w:r>
      <w:r>
        <w:t xml:space="preserve">“</w:t>
      </w:r>
      <w:r>
        <w:t xml:space="preserve">lines of code</w:t>
      </w:r>
      <w:r>
        <w:t xml:space="preserve">”</w:t>
      </w:r>
      <w:r>
        <w:t xml:space="preserve"> </w:t>
      </w:r>
      <w:r>
        <w:t xml:space="preserve">metrics mislead</w:t>
      </w:r>
    </w:p>
    <w:p>
      <w:pPr>
        <w:numPr>
          <w:ilvl w:val="0"/>
          <w:numId w:val="1008"/>
        </w:numPr>
        <w:pStyle w:val="Compact"/>
      </w:pPr>
      <w:r>
        <w:t xml:space="preserve">Leading indicators: cycle time, review iteration count</w:t>
      </w:r>
    </w:p>
    <w:p>
      <w:pPr>
        <w:numPr>
          <w:ilvl w:val="0"/>
          <w:numId w:val="1008"/>
        </w:numPr>
        <w:pStyle w:val="Compact"/>
      </w:pPr>
      <w:r>
        <w:t xml:space="preserve">Lagging indicators: defect rate, time-to-production</w:t>
      </w:r>
    </w:p>
    <w:p>
      <w:pPr>
        <w:numPr>
          <w:ilvl w:val="0"/>
          <w:numId w:val="1008"/>
        </w:numPr>
        <w:pStyle w:val="Compact"/>
      </w:pPr>
      <w:r>
        <w:t xml:space="preserve">Developer experience surveys and NPS for AI tools</w:t>
      </w:r>
    </w:p>
    <w:p>
      <w:pPr>
        <w:numPr>
          <w:ilvl w:val="0"/>
          <w:numId w:val="1008"/>
        </w:numPr>
        <w:pStyle w:val="Compact"/>
      </w:pPr>
      <w:r>
        <w:t xml:space="preserve">Communicating results to executives and boards</w:t>
      </w:r>
    </w:p>
    <w:bookmarkEnd w:id="32"/>
    <w:bookmarkStart w:id="33" w:name="change-management-and-rollout"/>
    <w:p>
      <w:pPr>
        <w:pStyle w:val="Heading5"/>
      </w:pPr>
      <w:r>
        <w:t xml:space="preserve">Change Management and Rollout</w:t>
      </w:r>
    </w:p>
    <w:p>
      <w:pPr>
        <w:numPr>
          <w:ilvl w:val="0"/>
          <w:numId w:val="1009"/>
        </w:numPr>
        <w:pStyle w:val="Compact"/>
      </w:pPr>
      <w:r>
        <w:t xml:space="preserve">Phased adoption: pilot → broad rollout → optimization</w:t>
      </w:r>
    </w:p>
    <w:p>
      <w:pPr>
        <w:numPr>
          <w:ilvl w:val="0"/>
          <w:numId w:val="1009"/>
        </w:numPr>
        <w:pStyle w:val="Compact"/>
      </w:pPr>
      <w:r>
        <w:t xml:space="preserve">Identifying and enabling AI champions on the team</w:t>
      </w:r>
    </w:p>
    <w:p>
      <w:pPr>
        <w:numPr>
          <w:ilvl w:val="0"/>
          <w:numId w:val="1009"/>
        </w:numPr>
        <w:pStyle w:val="Compact"/>
      </w:pPr>
      <w:r>
        <w:t xml:space="preserve">Addressing developer resistance and concerns</w:t>
      </w:r>
    </w:p>
    <w:p>
      <w:pPr>
        <w:numPr>
          <w:ilvl w:val="0"/>
          <w:numId w:val="1009"/>
        </w:numPr>
        <w:pStyle w:val="Compact"/>
      </w:pPr>
      <w:r>
        <w:t xml:space="preserve">Training and onboarding requirements</w:t>
      </w:r>
    </w:p>
    <w:bookmarkEnd w:id="33"/>
    <w:bookmarkStart w:id="34" w:name="governance-frameworks"/>
    <w:p>
      <w:pPr>
        <w:pStyle w:val="Heading5"/>
      </w:pPr>
      <w:r>
        <w:t xml:space="preserve">Governance Frameworks</w:t>
      </w:r>
    </w:p>
    <w:p>
      <w:pPr>
        <w:numPr>
          <w:ilvl w:val="0"/>
          <w:numId w:val="1010"/>
        </w:numPr>
        <w:pStyle w:val="Compact"/>
      </w:pPr>
      <w:r>
        <w:t xml:space="preserve">NIST AI RMF for engineering organizations</w:t>
      </w:r>
    </w:p>
    <w:p>
      <w:pPr>
        <w:numPr>
          <w:ilvl w:val="0"/>
          <w:numId w:val="1010"/>
        </w:numPr>
        <w:pStyle w:val="Compact"/>
      </w:pPr>
      <w:r>
        <w:t xml:space="preserve">EU AI Act applicability to developer tooling</w:t>
      </w:r>
    </w:p>
    <w:p>
      <w:pPr>
        <w:numPr>
          <w:ilvl w:val="0"/>
          <w:numId w:val="1010"/>
        </w:numPr>
        <w:pStyle w:val="Compact"/>
      </w:pPr>
      <w:r>
        <w:t xml:space="preserve">Building an AI governance committee</w:t>
      </w:r>
    </w:p>
    <w:p>
      <w:pPr>
        <w:numPr>
          <w:ilvl w:val="0"/>
          <w:numId w:val="1010"/>
        </w:numPr>
        <w:pStyle w:val="Compact"/>
      </w:pPr>
      <w:r>
        <w:t xml:space="preserve">Incident response when AI tooling causes a production issue</w:t>
      </w:r>
    </w:p>
    <w:bookmarkEnd w:id="34"/>
    <w:bookmarkStart w:id="35" w:name="workshop"/>
    <w:p>
      <w:pPr>
        <w:pStyle w:val="Heading5"/>
      </w:pPr>
      <w:r>
        <w:t xml:space="preserve">Workshop</w:t>
      </w:r>
    </w:p>
    <w:p>
      <w:pPr>
        <w:numPr>
          <w:ilvl w:val="0"/>
          <w:numId w:val="1011"/>
        </w:numPr>
        <w:pStyle w:val="Compact"/>
      </w:pPr>
      <w:r>
        <w:t xml:space="preserve">Draft an acceptable-use policy for participant’s organization</w:t>
      </w:r>
    </w:p>
    <w:p>
      <w:pPr>
        <w:numPr>
          <w:ilvl w:val="0"/>
          <w:numId w:val="1011"/>
        </w:numPr>
        <w:pStyle w:val="Compact"/>
      </w:pPr>
      <w:r>
        <w:t xml:space="preserve">Productivity measurement plan exercise</w:t>
      </w:r>
    </w:p>
    <w:p>
      <w:pPr>
        <w:numPr>
          <w:ilvl w:val="0"/>
          <w:numId w:val="1011"/>
        </w:numPr>
        <w:pStyle w:val="Compact"/>
      </w:pPr>
      <w:r>
        <w:t xml:space="preserve">Q&amp;A session</w:t>
      </w:r>
    </w:p>
    <w:bookmarkEnd w:id="35"/>
    <w:bookmarkEnd w:id="36"/>
    <w:bookmarkEnd w:id="37"/>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Responsible AI for Engineering Leaders</dc:title>
  <dc:creator>Cloud Contraptions LLC</dc:creator>
  <cp:keywords/>
  <dcterms:created xsi:type="dcterms:W3CDTF">2026-05-02T12:49:10Z</dcterms:created>
  <dcterms:modified xsi:type="dcterms:W3CDTF">2026-05-02T12:49:10Z</dcterms:modified>
  <dc:language>en-US</dc:language>
  <cp:category>ai-coding-assistants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